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4" w:type="dxa"/>
        <w:tblInd w:w="98" w:type="dxa"/>
        <w:tblLook w:val="04A0"/>
      </w:tblPr>
      <w:tblGrid>
        <w:gridCol w:w="2416"/>
        <w:gridCol w:w="2556"/>
        <w:gridCol w:w="2736"/>
        <w:gridCol w:w="2356"/>
        <w:gridCol w:w="2140"/>
      </w:tblGrid>
      <w:tr w:rsidR="00DC7472" w:rsidRPr="00DC7472" w:rsidTr="00DC7472">
        <w:trPr>
          <w:trHeight w:val="300"/>
        </w:trPr>
        <w:tc>
          <w:tcPr>
            <w:tcW w:w="12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7472" w:rsidRPr="00DC7472" w:rsidRDefault="00DC7472" w:rsidP="003800E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0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="00380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(4 </w:t>
            </w:r>
            <w:r w:rsidR="00F725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класс, 2016/2017 </w:t>
            </w:r>
            <w:proofErr w:type="spellStart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DC7472" w:rsidRPr="00DC7472" w:rsidTr="00DC7472">
        <w:trPr>
          <w:trHeight w:val="315"/>
        </w:trPr>
        <w:tc>
          <w:tcPr>
            <w:tcW w:w="12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C7472" w:rsidRPr="00DC7472" w:rsidTr="00DC7472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работа (общий балл)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67,87%</w:t>
            </w:r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66,23%</w:t>
            </w:r>
          </w:p>
        </w:tc>
      </w:tr>
      <w:tr w:rsidR="00DC7472" w:rsidRPr="00DC7472" w:rsidTr="00DC7472">
        <w:trPr>
          <w:trHeight w:val="106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6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76,40%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75,55%</w:t>
            </w:r>
          </w:p>
        </w:tc>
      </w:tr>
      <w:tr w:rsidR="00DC7472" w:rsidRPr="00DC7472" w:rsidTr="00DC7472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7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67,08%</w:t>
            </w:r>
            <w:bookmarkEnd w:id="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64,95%</w:t>
            </w:r>
          </w:p>
        </w:tc>
      </w:tr>
      <w:tr w:rsidR="00DC7472" w:rsidRPr="00DC7472" w:rsidTr="00DC7472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8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54,35%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52,16%</w:t>
            </w:r>
          </w:p>
        </w:tc>
      </w:tr>
      <w:tr w:rsidR="00DC7472" w:rsidRPr="00DC7472" w:rsidTr="00DC7472">
        <w:trPr>
          <w:trHeight w:val="540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 (% учащихся)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9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92,98%</w:t>
            </w:r>
          </w:p>
        </w:tc>
      </w:tr>
      <w:tr w:rsidR="00DC7472" w:rsidRPr="00DC7472" w:rsidTr="00DC7472">
        <w:trPr>
          <w:trHeight w:val="54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0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21,74%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32,80%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7143750" cy="1962150"/>
                  <wp:effectExtent l="0" t="0" r="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DC7472" w:rsidRPr="00DC7472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C7472" w:rsidRPr="00DC7472" w:rsidRDefault="00DC7472" w:rsidP="00DC7472">
                  <w:pPr>
                    <w:spacing w:before="0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C747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0" t="0" r="0" b="0"/>
                  <wp:wrapNone/>
                  <wp:docPr id="4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99" y="6174580"/>
                            <a:ext cx="238125" cy="138113"/>
                            <a:chOff x="80699" y="6174580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80699" y="6748197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DC7472" w:rsidRPr="00DC7472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C7472" w:rsidRPr="00DC7472" w:rsidRDefault="00DC7472" w:rsidP="00DC7472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47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0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5432" y="6174580"/>
                            <a:ext cx="238125" cy="138113"/>
                            <a:chOff x="1545432" y="6174580"/>
                            <a:chExt cx="238125" cy="138113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82" y="6703218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DC7472" w:rsidRPr="00DC7472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C7472" w:rsidRPr="00DC7472" w:rsidRDefault="00DC7472" w:rsidP="00DC7472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47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276225" cy="190500"/>
                  <wp:effectExtent l="0" t="0" r="0" b="0"/>
                  <wp:wrapNone/>
                  <wp:docPr id="5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4832" y="6152090"/>
                            <a:ext cx="238125" cy="157163"/>
                            <a:chOff x="3094832" y="6152090"/>
                            <a:chExt cx="238125" cy="1571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86365" y="6154207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DC7472" w:rsidRPr="00DC7472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C7472" w:rsidRPr="00DC7472" w:rsidRDefault="00DC7472" w:rsidP="00DC7472">
                  <w:pPr>
                    <w:spacing w:before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47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0" t="0" r="0" b="0"/>
                  <wp:wrapNone/>
                  <wp:docPr id="6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0095" y="6174580"/>
                            <a:ext cx="238125" cy="138113"/>
                            <a:chOff x="4560095" y="6174580"/>
                            <a:chExt cx="238125" cy="138113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345908" y="6762749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DC7472" w:rsidRPr="00DC7472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C7472" w:rsidRPr="00DC7472" w:rsidRDefault="00DC7472" w:rsidP="00DC7472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747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7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C7472" w:rsidRPr="00DC7472" w:rsidTr="00DC7472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9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9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9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78,26%</w:t>
            </w:r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E29"/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21,74%</w:t>
            </w:r>
            <w:bookmarkEnd w:id="10"/>
          </w:p>
        </w:tc>
      </w:tr>
      <w:tr w:rsidR="00DC7472" w:rsidRPr="00DC7472" w:rsidTr="00DC7472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DC7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60,18%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472" w:rsidRPr="00DC7472" w:rsidRDefault="00DC7472" w:rsidP="00DC7472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32,80%</w:t>
            </w:r>
          </w:p>
        </w:tc>
      </w:tr>
    </w:tbl>
    <w:p w:rsidR="00B05CEE" w:rsidRDefault="00B05CEE"/>
    <w:sectPr w:rsidR="00B05CEE" w:rsidSect="00DC7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472"/>
    <w:rsid w:val="003800EC"/>
    <w:rsid w:val="005D0F95"/>
    <w:rsid w:val="008D4381"/>
    <w:rsid w:val="009308D1"/>
    <w:rsid w:val="00B05CEE"/>
    <w:rsid w:val="00BC7960"/>
    <w:rsid w:val="00CB6344"/>
    <w:rsid w:val="00DC7472"/>
    <w:rsid w:val="00F7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245\30460_&#1052;&#1040;&#1054;&#1059;%20&#1043;&#1080;&#1084;&#1085;&#1072;&#1079;&#1080;&#1103;%20&#8470;%2015%20&#1075;.%20&#1050;&#1088;&#1072;&#1089;&#1085;&#1086;&#1103;&#1088;&#1089;&#1082;_3046004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5007141044343E-2"/>
          <c:y val="2.3765371968844564E-2"/>
          <c:w val="0.84970170596557093"/>
          <c:h val="0.79803946515687063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-4.2577675489067893E-2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-2.7617951668584606E-2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0.78260869565217406</c:v>
                </c:pt>
                <c:pt idx="1">
                  <c:v>0.60184119677790604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0.21739130434782614</c:v>
                </c:pt>
                <c:pt idx="1">
                  <c:v>0.32796317606444209</c:v>
                </c:pt>
              </c:numCache>
            </c:numRef>
          </c:val>
        </c:ser>
        <c:gapWidth val="75"/>
        <c:overlap val="100"/>
        <c:axId val="72136960"/>
        <c:axId val="74968064"/>
      </c:barChart>
      <c:catAx>
        <c:axId val="72136960"/>
        <c:scaling>
          <c:orientation val="minMax"/>
        </c:scaling>
        <c:axPos val="l"/>
        <c:numFmt formatCode="General" sourceLinked="1"/>
        <c:majorTickMark val="none"/>
        <c:tickLblPos val="nextTo"/>
        <c:crossAx val="74968064"/>
        <c:crosses val="autoZero"/>
        <c:auto val="1"/>
        <c:lblAlgn val="ctr"/>
        <c:lblOffset val="100"/>
      </c:catAx>
      <c:valAx>
        <c:axId val="74968064"/>
        <c:scaling>
          <c:orientation val="minMax"/>
        </c:scaling>
        <c:axPos val="b"/>
        <c:numFmt formatCode="#,##0%;#,##0%;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21369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dcterms:created xsi:type="dcterms:W3CDTF">2017-08-06T15:39:00Z</dcterms:created>
  <dcterms:modified xsi:type="dcterms:W3CDTF">2017-08-06T15:42:00Z</dcterms:modified>
</cp:coreProperties>
</file>