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849"/>
        <w:gridCol w:w="4054"/>
      </w:tblGrid>
      <w:tr w:rsidR="00B52026" w:rsidTr="00B52026">
        <w:tc>
          <w:tcPr>
            <w:tcW w:w="4817" w:type="dxa"/>
          </w:tcPr>
          <w:p w:rsidR="00B52026" w:rsidRDefault="00B52026">
            <w:pPr>
              <w:pStyle w:val="a3"/>
              <w:snapToGrid w:val="0"/>
              <w:rPr>
                <w:spacing w:val="-8"/>
              </w:rPr>
            </w:pPr>
            <w:r>
              <w:rPr>
                <w:spacing w:val="-8"/>
              </w:rPr>
              <w:t>РАССМОТРЕНО И  ПРИНЯТО</w:t>
            </w:r>
          </w:p>
          <w:p w:rsidR="00B52026" w:rsidRDefault="00B52026">
            <w:pPr>
              <w:pStyle w:val="a3"/>
              <w:rPr>
                <w:spacing w:val="-8"/>
              </w:rPr>
            </w:pPr>
            <w:r>
              <w:rPr>
                <w:spacing w:val="-8"/>
              </w:rPr>
              <w:t>на заседании Управляющего совета</w:t>
            </w:r>
          </w:p>
          <w:p w:rsidR="00B52026" w:rsidRDefault="00B52026">
            <w:pPr>
              <w:pStyle w:val="a3"/>
              <w:rPr>
                <w:spacing w:val="-8"/>
              </w:rPr>
            </w:pPr>
            <w:r>
              <w:rPr>
                <w:spacing w:val="-8"/>
              </w:rPr>
              <w:t xml:space="preserve">с учетом мнения общешкольного </w:t>
            </w:r>
          </w:p>
          <w:p w:rsidR="00B52026" w:rsidRDefault="00B52026">
            <w:pPr>
              <w:pStyle w:val="a3"/>
              <w:rPr>
                <w:spacing w:val="-8"/>
                <w:sz w:val="10"/>
                <w:szCs w:val="10"/>
              </w:rPr>
            </w:pPr>
            <w:r>
              <w:rPr>
                <w:spacing w:val="-8"/>
              </w:rPr>
              <w:t xml:space="preserve">родительского комитета </w:t>
            </w:r>
          </w:p>
          <w:p w:rsidR="00B52026" w:rsidRDefault="00B52026">
            <w:pPr>
              <w:pStyle w:val="a3"/>
              <w:rPr>
                <w:spacing w:val="-8"/>
              </w:rPr>
            </w:pPr>
            <w:r>
              <w:rPr>
                <w:spacing w:val="-8"/>
              </w:rPr>
              <w:t>Протокол № ___  от «___»___________ 2014 г.</w:t>
            </w:r>
          </w:p>
          <w:p w:rsidR="00B52026" w:rsidRDefault="00B52026">
            <w:pPr>
              <w:pStyle w:val="a3"/>
              <w:snapToGrid w:val="0"/>
              <w:rPr>
                <w:spacing w:val="-8"/>
              </w:rPr>
            </w:pPr>
          </w:p>
        </w:tc>
        <w:tc>
          <w:tcPr>
            <w:tcW w:w="849" w:type="dxa"/>
          </w:tcPr>
          <w:p w:rsidR="00B52026" w:rsidRDefault="00B52026">
            <w:pPr>
              <w:pStyle w:val="a3"/>
              <w:snapToGrid w:val="0"/>
              <w:rPr>
                <w:spacing w:val="-8"/>
              </w:rPr>
            </w:pPr>
          </w:p>
        </w:tc>
        <w:tc>
          <w:tcPr>
            <w:tcW w:w="4054" w:type="dxa"/>
          </w:tcPr>
          <w:p w:rsidR="00B52026" w:rsidRDefault="00B52026">
            <w:pPr>
              <w:pStyle w:val="a3"/>
              <w:snapToGrid w:val="0"/>
              <w:rPr>
                <w:spacing w:val="-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4A3E92" wp14:editId="534F5D6D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-193040</wp:posOffset>
                  </wp:positionV>
                  <wp:extent cx="2724150" cy="1676400"/>
                  <wp:effectExtent l="0" t="0" r="0" b="0"/>
                  <wp:wrapNone/>
                  <wp:docPr id="1" name="Рисунок 1" descr="C:\Users\1\AppData\Local\Microsoft\Windows\Temporary Internet Files\Content.Word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1\AppData\Local\Microsoft\Windows\Temporary Internet Files\Content.Word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52026" w:rsidRDefault="00B52026" w:rsidP="00B52026">
      <w:pPr>
        <w:jc w:val="center"/>
        <w:rPr>
          <w:b/>
          <w:iCs/>
        </w:rPr>
      </w:pPr>
    </w:p>
    <w:p w:rsidR="00B52026" w:rsidRDefault="00B52026" w:rsidP="00B52026">
      <w:pPr>
        <w:ind w:firstLine="567"/>
        <w:jc w:val="center"/>
        <w:rPr>
          <w:b/>
          <w:iCs/>
          <w:sz w:val="32"/>
        </w:rPr>
      </w:pPr>
      <w:r>
        <w:rPr>
          <w:b/>
          <w:iCs/>
          <w:sz w:val="32"/>
        </w:rPr>
        <w:t>Положение</w:t>
      </w:r>
    </w:p>
    <w:p w:rsidR="00B52026" w:rsidRDefault="00B52026" w:rsidP="00B52026">
      <w:pPr>
        <w:ind w:firstLine="567"/>
        <w:jc w:val="center"/>
        <w:rPr>
          <w:b/>
          <w:iCs/>
          <w:sz w:val="32"/>
        </w:rPr>
      </w:pPr>
      <w:r>
        <w:rPr>
          <w:b/>
          <w:iCs/>
          <w:sz w:val="32"/>
        </w:rPr>
        <w:t>о порядке привлечения и расходования внебюджетных средств</w:t>
      </w:r>
    </w:p>
    <w:p w:rsidR="00B52026" w:rsidRDefault="00B52026" w:rsidP="00B52026">
      <w:pPr>
        <w:ind w:firstLine="567"/>
        <w:jc w:val="center"/>
        <w:rPr>
          <w:b/>
          <w:iCs/>
          <w:sz w:val="32"/>
        </w:rPr>
      </w:pPr>
      <w:r>
        <w:rPr>
          <w:b/>
          <w:iCs/>
          <w:sz w:val="32"/>
        </w:rPr>
        <w:t>муниципального автономного общеобразовательного учрежд</w:t>
      </w:r>
      <w:bookmarkStart w:id="0" w:name="_GoBack"/>
      <w:bookmarkEnd w:id="0"/>
      <w:r>
        <w:rPr>
          <w:b/>
          <w:iCs/>
          <w:sz w:val="32"/>
        </w:rPr>
        <w:t>ения</w:t>
      </w:r>
    </w:p>
    <w:p w:rsidR="00B52026" w:rsidRDefault="00B52026" w:rsidP="00B52026">
      <w:pPr>
        <w:ind w:firstLine="567"/>
        <w:jc w:val="center"/>
        <w:rPr>
          <w:b/>
          <w:iCs/>
          <w:sz w:val="32"/>
        </w:rPr>
      </w:pPr>
      <w:r>
        <w:rPr>
          <w:b/>
          <w:iCs/>
          <w:sz w:val="32"/>
        </w:rPr>
        <w:t>«Общеобразовательное учреждение гимназия № 15»</w:t>
      </w:r>
    </w:p>
    <w:p w:rsidR="00B52026" w:rsidRDefault="00B52026" w:rsidP="00B52026">
      <w:pPr>
        <w:ind w:firstLine="567"/>
        <w:jc w:val="both"/>
      </w:pPr>
    </w:p>
    <w:p w:rsidR="00B52026" w:rsidRDefault="00B52026" w:rsidP="00B52026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left="0" w:firstLine="56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ОБЩИЕ ПОЛОЖЕНИЯ</w:t>
      </w:r>
    </w:p>
    <w:p w:rsidR="00B52026" w:rsidRDefault="00B52026" w:rsidP="00B52026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567"/>
        <w:rPr>
          <w:b/>
          <w:bCs/>
          <w:spacing w:val="-2"/>
        </w:rPr>
      </w:pPr>
    </w:p>
    <w:p w:rsidR="00B52026" w:rsidRDefault="00B52026" w:rsidP="00B52026">
      <w:pPr>
        <w:pStyle w:val="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 w:val="0"/>
          <w:bCs w:val="0"/>
          <w:color w:val="000000"/>
          <w:sz w:val="24"/>
          <w:szCs w:val="24"/>
        </w:rPr>
      </w:pPr>
      <w:proofErr w:type="gramStart"/>
      <w:r>
        <w:rPr>
          <w:b w:val="0"/>
          <w:bCs w:val="0"/>
          <w:color w:val="000000"/>
          <w:sz w:val="24"/>
          <w:szCs w:val="24"/>
        </w:rPr>
        <w:t>Положение о привлечении внебюджетных средств в учреждение (далее по тексту – Положение) разработано в соответствии с Гражданским кодексом Российской Федерации, Федеральным законом от 29.12.2012 N 273-ФЗ «Об образовании в Российской Федерации», Инструктивным письмом Минобразования РФ от 15.12.1998 года № 57 «О внебюджетных средствах образовательного учреждения», письмом Министерства образования и науки РФ от 10.09.2013 № 01 – 50 – 377/11-565, письмом Министерства</w:t>
      </w:r>
      <w:proofErr w:type="gramEnd"/>
      <w:r>
        <w:rPr>
          <w:b w:val="0"/>
          <w:bCs w:val="0"/>
          <w:color w:val="000000"/>
          <w:sz w:val="24"/>
          <w:szCs w:val="24"/>
        </w:rPr>
        <w:t xml:space="preserve"> образования и науки РФ от 13.09 2013 № </w:t>
      </w:r>
      <w:proofErr w:type="gramStart"/>
      <w:r>
        <w:rPr>
          <w:b w:val="0"/>
          <w:bCs w:val="0"/>
          <w:color w:val="000000"/>
          <w:sz w:val="24"/>
          <w:szCs w:val="24"/>
        </w:rPr>
        <w:t>ИТ</w:t>
      </w:r>
      <w:proofErr w:type="gramEnd"/>
      <w:r>
        <w:rPr>
          <w:b w:val="0"/>
          <w:bCs w:val="0"/>
          <w:color w:val="000000"/>
          <w:sz w:val="24"/>
          <w:szCs w:val="24"/>
        </w:rPr>
        <w:t xml:space="preserve"> – 885/08 (Приложение № 1 и № 2)  Уставом  МАОУ Гимназия № 15 и другими нормативными правовыми актами, действующими в сфере образования.</w:t>
      </w:r>
    </w:p>
    <w:p w:rsidR="00B52026" w:rsidRDefault="00B52026" w:rsidP="00B52026">
      <w:pPr>
        <w:pStyle w:val="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Настоящее Положение разработано с целью: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− правовой защиты участников образовательного процесса в учреждении и оказания практической помощи в осуществлении привлечения внебюджетных средств;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br/>
        <w:t>− создания дополнительных условий для развития гимназии, в том числе совершенствования материально-технической базы, обеспечивающей образовательный процесс, организации досуга и отдыха детей;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br/>
        <w:t>− эффективного использования внебюджетных средств.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br/>
        <w:t xml:space="preserve">          1.3. Настоящее Положение регулирует привлечение целевых взносов, спонсорских средств и добровольных пожертвований на развитие МАОУ Гимназия № 15.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1.4. Источники финансирования гимназии, предусмотренные настоящим Положением, являются дополнительными к основному источнику. Привлечение гимназией дополнительных источников финансирования не влечёт за собой сокращение объемов финансирования общеобразовательного учреждения, выделенных всеми уровнями бюджета на выполнение муниципального задания и содержание гимназии. 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1.5. Дополнительные источники финансирования могут быть привлечены гимназией только в том случае, если такая возможность предусмотрена в его Уставе, и только с соблюдением всех условий, установленных действующим законодательством Российской Федерации и настоящим Положением.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1.6. Дополнительными источниками финансирования гимназии могут быть средства (доходы), полученные в результате: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- добровольных пожертвований, спонсорских средств и целевых взносов физических и (или)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юридических лиц, в том числе иностранных граждан и юридических лиц;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- иных источников, предусмотренных законодательством Российской Федерации.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1.7. Привлечение гимназией внебюджетных средств является правом, а не обязанностью гимназии. Гимназия вправе самостоятельно использовать дополнительные привлечённые финансовые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средства (ст.161, п.6 БК РФ) на функционирование и развитие гимназии, на приобретение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предметов </w:t>
      </w:r>
      <w:r>
        <w:rPr>
          <w:b w:val="0"/>
          <w:sz w:val="24"/>
          <w:szCs w:val="24"/>
        </w:rPr>
        <w:lastRenderedPageBreak/>
        <w:t>хозяйственного пользования, обустройства интерьера, проведение ремонтных работ,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организацию досуга детей.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1.8. Основным принципом привлечения внебюджетных средств учреждением является добровольность их внесения физическими и юридическими лицами, в том числе родителями (законными представителями).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1.9. Настоящее Положение принимается общим собранием родителей (законных представителей) обучающихся в  МАОУ Гимназия № 15 и вводится в действие с момента утверждения приказом директора гимназии. </w:t>
      </w:r>
    </w:p>
    <w:p w:rsidR="00B52026" w:rsidRDefault="00B52026" w:rsidP="00B52026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firstLine="567"/>
        <w:jc w:val="both"/>
      </w:pPr>
      <w:r>
        <w:t xml:space="preserve">1.10. Изменения и дополнения в настоящее Положение принимаются на Управляющем совете гимназии и вводятся в действие с момента утверждения приказом директора гимназии. </w:t>
      </w:r>
    </w:p>
    <w:p w:rsidR="00B52026" w:rsidRDefault="00B52026" w:rsidP="00B52026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firstLine="567"/>
        <w:jc w:val="both"/>
      </w:pPr>
      <w:r>
        <w:t>1.11. Срок действия Положения не ограничен.</w:t>
      </w:r>
    </w:p>
    <w:p w:rsidR="00B52026" w:rsidRDefault="00B52026" w:rsidP="00B52026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firstLine="567"/>
        <w:jc w:val="center"/>
        <w:rPr>
          <w:b/>
          <w:bCs/>
          <w:spacing w:val="-2"/>
        </w:rPr>
      </w:pPr>
      <w:r>
        <w:br/>
      </w:r>
      <w:r>
        <w:rPr>
          <w:b/>
        </w:rPr>
        <w:t xml:space="preserve">2. </w:t>
      </w:r>
      <w:r>
        <w:rPr>
          <w:b/>
          <w:bCs/>
          <w:spacing w:val="-2"/>
        </w:rPr>
        <w:t>ОСНОВНЫЕ ПОНЯТИЯ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Законные представители</w:t>
      </w:r>
      <w:r>
        <w:rPr>
          <w:b w:val="0"/>
          <w:sz w:val="24"/>
          <w:szCs w:val="24"/>
        </w:rPr>
        <w:t xml:space="preserve"> – родители, усыновители, опекуны, попечители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>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Органы самоуправления в гимназии</w:t>
      </w:r>
      <w:r>
        <w:rPr>
          <w:b w:val="0"/>
          <w:sz w:val="24"/>
          <w:szCs w:val="24"/>
        </w:rPr>
        <w:t xml:space="preserve"> – Наблюдательный совет, Общее собрание трудового коллектива, Управляющий совет, Педагогический совет.  Порядок выборов органов самоуправления гимназии и их компетенция определяются Уставом гимназии, положением о соответствующем органе самоуправления, разрабатываемым гимназией самостоятельно и утвержденным руководителем гимназии.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Целевые взносы</w:t>
      </w:r>
      <w:r>
        <w:rPr>
          <w:b w:val="0"/>
          <w:sz w:val="24"/>
          <w:szCs w:val="24"/>
        </w:rPr>
        <w:t xml:space="preserve"> 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– развитие гимназии.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Добровольное пожертвование</w:t>
      </w:r>
      <w:r>
        <w:rPr>
          <w:b w:val="0"/>
          <w:sz w:val="24"/>
          <w:szCs w:val="24"/>
        </w:rPr>
        <w:t xml:space="preserve"> – дарение вещи (включая деньги, ценные бумаги) или права в общеполезных целях. В контексте данного Положения общеполезная цель – развитие гимназии.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Жертвователь </w:t>
      </w:r>
      <w:r>
        <w:rPr>
          <w:b w:val="0"/>
          <w:sz w:val="24"/>
          <w:szCs w:val="24"/>
        </w:rPr>
        <w:t xml:space="preserve">– юридическое или физическое лицо (в том числе законные представители), осуществляющее добровольное пожертвование. 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Спонсор</w:t>
      </w:r>
      <w:r>
        <w:rPr>
          <w:b w:val="0"/>
          <w:sz w:val="24"/>
          <w:szCs w:val="24"/>
        </w:rPr>
        <w:t xml:space="preserve"> – лицо, предоставляющее средства или обеспечивающее предоставление сре</w:t>
      </w:r>
      <w:proofErr w:type="gramStart"/>
      <w:r>
        <w:rPr>
          <w:b w:val="0"/>
          <w:sz w:val="24"/>
          <w:szCs w:val="24"/>
        </w:rPr>
        <w:t>дств дл</w:t>
      </w:r>
      <w:proofErr w:type="gramEnd"/>
      <w:r>
        <w:rPr>
          <w:b w:val="0"/>
          <w:sz w:val="24"/>
          <w:szCs w:val="24"/>
        </w:rPr>
        <w:t>я организации или проведения любого мероприятия, которые он по договору передаёт к определённой дате на запланированное мероприятие.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</w:r>
      <w:r>
        <w:rPr>
          <w:sz w:val="24"/>
          <w:szCs w:val="24"/>
        </w:rPr>
        <w:t>3. УСЛОВИЯ ПРИВЛЕЧЕНИЯ ЦЕЛЕВЫХ ВЗНОСОВ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3.1. Привлечение целевых взносов может иметь своей целью приобретение необходимого гимназии имущества, укрепление и развитие материально-технической базы учреждения, охрану жизни, здоровья и обеспечение безопасности участников образовательного процесса, либо решение иных задач, не противоречащих уставной деятельности гимназии и действующему законодательству Российской Федерации.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3.2. Решение о необходимости привлечения целевых взносов законных представителей принимаются общим собранием родителей (законных представителей) класса, Управляющим советом гимназии, с указанием цели их привлечения. Данное решение оформляется протоколом.</w:t>
      </w:r>
      <w:r>
        <w:rPr>
          <w:b w:val="0"/>
          <w:sz w:val="24"/>
          <w:szCs w:val="24"/>
        </w:rPr>
        <w:br/>
        <w:t>Председатель или казначей классного родительского комитета представляет расчеты предполагаемых расходов и финансовых средств, необходимых для осуществления вышеуказанных целей.</w:t>
      </w:r>
      <w:r>
        <w:rPr>
          <w:b w:val="0"/>
          <w:sz w:val="24"/>
          <w:szCs w:val="24"/>
        </w:rPr>
        <w:br/>
        <w:t>Данная информация доводится до сведения родителей (законных представителей) путем их оповещения на родительских собраниях или иным способом.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Учреждение не имеет права самостоятельно по собственной инициативе привлекать целевые взносы родителей (законных представителей) без их согласия.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3.3. Размер целевого взноса определяется каждым родителем (законным представителем) обучающихся воспитанников самостоятельно. Решение о внесении целевых взносов для учреждения со стороны иных физических и юридических лиц принимается ими самостоятельно с указанием цели реализации средств, а также по предварительному письменному обращению гимназии к указанным лицам.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3.4. Целевые вносы родителей (законных представителей) обучающихся вносятся на внебюджетный счёт гимназии. Реквизиты для внесения внебюджетных средств размещены на официальном сайте  МАОУ Гимназия № 15.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3.5. Целевые взносы юридических и физических лиц также направляются ими на внебюджетный счет гимназии.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3.6. Распоряжение привлеченными целевыми взносами осуществляет директор гимназии по объявленному целевому назначению по согласованию с органами самоуправления гимназии, принявшими решение о привлечении средств.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3.7. Директор гимназии, совместно с централизованной бухгалтерией организует бухгалтерский учет целевых взносов в соответствии с Инструкцией по бюджетному учету в учреждениях, утвержденной приказом Министерства финансов Российской Федерации от 13.11.2008 года № 128н.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4. УСЛОВИЯ ПРИВЛЕЧЕНИЯ ГИМНАЗИЕЙ ДОБРОВОЛЬНЫХ ПОЖЕРТВОВАНИЙ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4.1. Добровольные пожертвования гимназии могут производиться юридическими и физическими лицами, в том числе родителями (законными представителями).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4.2. </w:t>
      </w:r>
      <w:proofErr w:type="gramStart"/>
      <w:r>
        <w:rPr>
          <w:b w:val="0"/>
          <w:sz w:val="24"/>
          <w:szCs w:val="24"/>
        </w:rPr>
        <w:t>Добровольные</w:t>
      </w:r>
      <w:proofErr w:type="gramEnd"/>
      <w:r>
        <w:rPr>
          <w:b w:val="0"/>
          <w:sz w:val="24"/>
          <w:szCs w:val="24"/>
        </w:rPr>
        <w:t xml:space="preserve"> пожертвовании оформляются в соответствии с действующим законодательством.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4.3. Добровольные пожертвования физических лиц, в том числе законных представителей, в виде денежных средств вносятся на внебюджетный счет гимназии.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4.4. Добровольные пожертвования в виде денежных средств юридических лиц вносятся ими на внебюджетный счет гимназии.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4.5. Имущество, переданное гимназии безвозмездно, оформляется в обязательном порядке актом приема-передачи или договором пожертвования и ставится на баланс гимназии в соответствии с действующим законодательством.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4.6.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4.7. Распоряжение пожертвованным имуществом осуществляет директор гимназии. Денежные средства расходуются в соответствии с утвержденной руководителем сметой доходов и расходов, согласованной с органами самоуправления учреждения и учредителем.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4.8. Руководитель учреждения при привлечении и расходовании благотворительных средств (добровольных пожертвований) должен: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производить приём средств по договору пожертвования, заключенному в установленном порядке, в котором должны быть отражены: конкретная цель использования, сумма взноса, реквизиты благотворителя (жертвователя), дата внесения средств, обособленный учёт этих средств, наименование имущества;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обеспечить поступление денежных сре</w:t>
      </w:r>
      <w:proofErr w:type="gramStart"/>
      <w:r>
        <w:rPr>
          <w:b w:val="0"/>
          <w:sz w:val="24"/>
          <w:szCs w:val="24"/>
        </w:rPr>
        <w:t>дств бл</w:t>
      </w:r>
      <w:proofErr w:type="gramEnd"/>
      <w:r>
        <w:rPr>
          <w:b w:val="0"/>
          <w:sz w:val="24"/>
          <w:szCs w:val="24"/>
        </w:rPr>
        <w:t>аготворителей (жертвователей) для учреждения на лицевой счёт учреждения, открытый в органах казначейства, через кассу учреждения или безналичным способом через кредитные организации;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оформить в виде акта с подписями руководителя, материально ответственного лица учреждения и благотворителя (жертвователя) отчёт о расходовании благотворительных средств (добровольных пожертвований) не позднее чем через 1 месяц после использования;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оформить постановку на отдельный баланс имущества, полученного от благотворителей (жертвователей) и (или) приобретенного за счёт внесённых ими средств;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gramStart"/>
      <w:r>
        <w:rPr>
          <w:b w:val="0"/>
          <w:sz w:val="24"/>
          <w:szCs w:val="24"/>
        </w:rPr>
        <w:t>предоставлять ежегодный отчёт</w:t>
      </w:r>
      <w:proofErr w:type="gramEnd"/>
      <w:r>
        <w:rPr>
          <w:b w:val="0"/>
          <w:sz w:val="24"/>
          <w:szCs w:val="24"/>
        </w:rPr>
        <w:t xml:space="preserve"> (в публичном докладе) о привлечении и расходовании дополнительных финансовых средств в образовательном учреждении;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не допускать неправомочных действий органов самоуправления учреждения в части привлечения добровольных пожертвований (данную работу могут проводить только Управляющий совет и родительские комитеты классов).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4.9. К случаям, не урегулированным настоящим разделам Положения, применяются нормы Гражданского кодекса Российской Федерации.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5. ПОРЯДОК РАСХОДОВАНИЯ ВНЕБЮДЖЕТНЫХ СРЕДСТВ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5.1. Внебюджетные средства (благотворительные пожертвования) расходуются на уставные цели.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5.2. Если цели пожертвований не обозначены, то гимназия вправе направлять на улучшение имущественной обеспеченности уставной деятельности гимназии.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5.3. Внебюджетные средства (благотворительные пожертвования) расходуются на приобретение: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− учебно-методических пособий;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− инструментов и оборудования;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− мебели и мягкого инвентаря;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− оборудования и инвентаря для осуществления текущего ремонта здания, помещений, классов: 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− оборудования и материалов для содержания игровых и спортивных площадок;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5.4. Внебюджетные средства (благотворительные пожертвования) расходуются </w:t>
      </w:r>
      <w:proofErr w:type="gramStart"/>
      <w:r>
        <w:rPr>
          <w:b w:val="0"/>
          <w:sz w:val="24"/>
          <w:szCs w:val="24"/>
        </w:rPr>
        <w:t>на</w:t>
      </w:r>
      <w:proofErr w:type="gramEnd"/>
      <w:r>
        <w:rPr>
          <w:b w:val="0"/>
          <w:sz w:val="24"/>
          <w:szCs w:val="24"/>
        </w:rPr>
        <w:t>: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− содержание и обслуживание множительной и копировальной техники,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− обустройство интерьеров, эстетического оформления гимназии;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− благоустройство территории гимназии; 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− услуги по содержанию имущества. 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5.5. Смета доходов и расходов по внебюджетным средствам составляется и утверждается директором гимназии один раз в год с ежеквартальной корректировкой. 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6. ЭТАПЫ ПРИЁМА ПОЖЕРТВОВАНИЙ ОТ БЛАГОТВОРИТЕЛЕЙ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6.1. Приём пожертвований от благотворителей включает следующие этапы:  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−   заключение договора пожертвования; 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− постановка на бухгалтерский учёт имущества, полученного от благотворителей в виде материальных ценностей; 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6.2. Денежные средства, полученные от благотворителей, должны поступать на внебюджетный счёт общеобразовательного учреждения в банке с указанием на их целевое использование; 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6.3. Учёт имущества (в </w:t>
      </w:r>
      <w:proofErr w:type="spellStart"/>
      <w:r>
        <w:rPr>
          <w:b w:val="0"/>
          <w:sz w:val="24"/>
          <w:szCs w:val="24"/>
        </w:rPr>
        <w:t>т.ч</w:t>
      </w:r>
      <w:proofErr w:type="spellEnd"/>
      <w:r>
        <w:rPr>
          <w:b w:val="0"/>
          <w:sz w:val="24"/>
          <w:szCs w:val="24"/>
        </w:rPr>
        <w:t xml:space="preserve">. денежных средств), полученного в качестве пожертвований, должен вестись отдельно; 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6.4. Целевое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учёту.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br/>
      </w: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ЗАКОННОСТИ ПРИВЛЕЧЕНИЯ 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ДОПОЛНИТЕЛЬНЫХ ВНЕБЮДЖЕТНЫХ СРЕДСТВ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соблюдением законности привлечения внебюджетных средств осуществляется ее учредителем в соответствии с настоящим Положением.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7.2. Руководитель гимназии обязан отчитываться перед учредителем и родителями (законными представителями) о поступлении, бухгалтерском учёте и расходовании средств, полученных от внебюджетных источников, не реже одного раза в год.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7.3. Запрещается отказывать гражданам в приёме детей в учреждение или исключить из него из-за невозможности или нежелания законных представителей осуществлять целевые взносы, добровольные пожертвования.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7.4. Запрещается вовлекать детей в финансовые отношения между их родителями (законными представителями) и учреждением.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7.5. Работникам гимназии запрещается осуществлять незаконный сбор наличных денежных средств родителей (законных представителей) обучающихся (вступительный взнос при приеме ребенка в учреждение, принудительный сбор денег на ремонт и т.п.).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8. ЗАКЛЮЧИТЕЛЬНЫЕ ПОЛОЖЕНИЯ</w:t>
      </w:r>
    </w:p>
    <w:p w:rsidR="00B52026" w:rsidRDefault="00B52026" w:rsidP="00B5202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8.1. Все работники учреждения несут персональную ответственность за соблюдение порядка привлечения и использования целевых взносов, добровольных пожертвований.</w:t>
      </w:r>
    </w:p>
    <w:p w:rsidR="00B52026" w:rsidRDefault="00B52026" w:rsidP="00B52026">
      <w:pPr>
        <w:ind w:firstLine="567"/>
        <w:jc w:val="both"/>
      </w:pPr>
    </w:p>
    <w:p w:rsidR="00B751DC" w:rsidRDefault="00B751DC"/>
    <w:sectPr w:rsidR="00B751DC" w:rsidSect="00B52026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F7668"/>
    <w:multiLevelType w:val="multilevel"/>
    <w:tmpl w:val="8C0E9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2" w:hanging="1095"/>
      </w:pPr>
    </w:lvl>
    <w:lvl w:ilvl="2">
      <w:start w:val="1"/>
      <w:numFmt w:val="decimal"/>
      <w:isLgl/>
      <w:lvlText w:val="%1.%2.%3."/>
      <w:lvlJc w:val="left"/>
      <w:pPr>
        <w:ind w:left="1869" w:hanging="1095"/>
      </w:pPr>
    </w:lvl>
    <w:lvl w:ilvl="3">
      <w:start w:val="1"/>
      <w:numFmt w:val="decimal"/>
      <w:isLgl/>
      <w:lvlText w:val="%1.%2.%3.%4."/>
      <w:lvlJc w:val="left"/>
      <w:pPr>
        <w:ind w:left="2076" w:hanging="1095"/>
      </w:pPr>
    </w:lvl>
    <w:lvl w:ilvl="4">
      <w:start w:val="1"/>
      <w:numFmt w:val="decimal"/>
      <w:isLgl/>
      <w:lvlText w:val="%1.%2.%3.%4.%5."/>
      <w:lvlJc w:val="left"/>
      <w:pPr>
        <w:ind w:left="2283" w:hanging="1095"/>
      </w:pPr>
    </w:lvl>
    <w:lvl w:ilvl="5">
      <w:start w:val="1"/>
      <w:numFmt w:val="decimal"/>
      <w:isLgl/>
      <w:lvlText w:val="%1.%2.%3.%4.%5.%6."/>
      <w:lvlJc w:val="left"/>
      <w:pPr>
        <w:ind w:left="2490" w:hanging="109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CE"/>
    <w:rsid w:val="00194ECE"/>
    <w:rsid w:val="00B52026"/>
    <w:rsid w:val="00B7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B520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20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B52026"/>
    <w:pPr>
      <w:widowControl w:val="0"/>
      <w:suppressAutoHyphens/>
    </w:pPr>
    <w:rPr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B52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B520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20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B52026"/>
    <w:pPr>
      <w:widowControl w:val="0"/>
      <w:suppressAutoHyphens/>
    </w:pPr>
    <w:rPr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B52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1916</Words>
  <Characters>10926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</dc:creator>
  <cp:keywords/>
  <dc:description/>
  <cp:lastModifiedBy>BSG</cp:lastModifiedBy>
  <cp:revision>3</cp:revision>
  <dcterms:created xsi:type="dcterms:W3CDTF">2015-05-04T16:56:00Z</dcterms:created>
  <dcterms:modified xsi:type="dcterms:W3CDTF">2015-05-04T16:58:00Z</dcterms:modified>
</cp:coreProperties>
</file>